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00214B"/>
          <w:sz w:val="28"/>
          <w:szCs w:val="28"/>
        </w:rPr>
        <w:t xml:space="preserve">ПУБЛИЧНАЯ ОФЕРТА</w:t>
      </w:r>
    </w:p>
    <w:p>
      <w:pPr>
        <w:spacing w:after="40"/>
        <w:jc w:val="center"/>
      </w:pPr>
      <w:r>
        <w:rPr>
          <w:rFonts w:ascii="Arial" w:cs="Arial" w:eastAsia="Arial" w:hAnsi="Arial"/>
          <w:b/>
          <w:bCs/>
          <w:sz w:val="21"/>
          <w:szCs w:val="21"/>
        </w:rPr>
        <w:t xml:space="preserve">на оказание услуг детского игрового парка «Акула»</w:t>
      </w:r>
    </w:p>
    <w:p>
      <w:pPr>
        <w:spacing w:after="240"/>
        <w:jc w:val="center"/>
      </w:pPr>
      <w:r>
        <w:rPr>
          <w:rFonts w:ascii="Arial" w:cs="Arial" w:eastAsia="Arial" w:hAnsi="Arial"/>
          <w:i/>
          <w:iCs/>
          <w:color w:val="555555"/>
          <w:sz w:val="19"/>
          <w:szCs w:val="19"/>
        </w:rPr>
        <w:t xml:space="preserve">г. Красноярск · редакция от «___» __________ 2026 г.</w:t>
      </w:r>
    </w:p>
    <w:p>
      <w:pPr>
        <w:spacing w:after="100" w:line="264"/>
        <w:jc w:val="both"/>
      </w:pPr>
      <w:r>
        <w:rPr>
          <w:rFonts w:ascii="Arial" w:cs="Arial" w:eastAsia="Arial" w:hAnsi="Arial"/>
          <w:b w:val="false"/>
          <w:bCs w:val="false"/>
          <w:i w:val="false"/>
          <w:iCs w:val="false"/>
          <w:sz w:val="20"/>
          <w:szCs w:val="20"/>
        </w:rPr>
        <w:t xml:space="preserve">Общество с ограниченной ответственностью «Акула», ОГРН 1213800010016, ИНН 3812535911 (далее — Исполнитель), публикует настоящую оферту, являющуюся публичным договором в значении статьи 437 Гражданского кодекса РФ, в адрес физических лиц (далее — Заказчик).</w:t>
      </w:r>
    </w:p>
    <w:p>
      <w:pPr>
        <w:spacing w:after="100" w:line="264"/>
        <w:jc w:val="both"/>
      </w:pPr>
      <w:r>
        <w:rPr>
          <w:rFonts w:ascii="Arial" w:cs="Arial" w:eastAsia="Arial" w:hAnsi="Arial"/>
          <w:b/>
          <w:bCs/>
          <w:i w:val="false"/>
          <w:iCs w:val="false"/>
          <w:sz w:val="20"/>
          <w:szCs w:val="20"/>
        </w:rPr>
        <w:t xml:space="preserve">Совершение Заказчиком действий, указанных в разделе 3 настоящей оферты, означает полное и безоговорочное принятие её условий (акцепт) и заключение договора на изложенных ниже условиях.</w:t>
      </w:r>
    </w:p>
    <w:p>
      <w:pPr>
        <w:spacing w:after="130" w:before="280"/>
      </w:pPr>
      <w:r>
        <w:rPr>
          <w:rFonts w:ascii="Arial" w:cs="Arial" w:eastAsia="Arial" w:hAnsi="Arial"/>
          <w:b/>
          <w:bCs/>
          <w:color w:val="00214B"/>
          <w:sz w:val="23"/>
          <w:szCs w:val="23"/>
        </w:rPr>
        <w:t xml:space="preserve">1. Термины</w:t>
      </w:r>
    </w:p>
    <w:p>
      <w:pPr>
        <w:spacing w:after="100" w:line="264"/>
        <w:jc w:val="both"/>
      </w:pPr>
      <w:r>
        <w:rPr>
          <w:rFonts w:ascii="Arial" w:cs="Arial" w:eastAsia="Arial" w:hAnsi="Arial"/>
          <w:b w:val="false"/>
          <w:bCs w:val="false"/>
          <w:i w:val="false"/>
          <w:iCs w:val="false"/>
          <w:sz w:val="20"/>
          <w:szCs w:val="20"/>
        </w:rPr>
        <w:t xml:space="preserve">Парк — детский игровой парк «Акула», расположенный по адресу: г. Красноярск, ул. 9 Мая, д. 77, ТРЦ «Планета», 2 этаж.</w:t>
      </w:r>
    </w:p>
    <w:p>
      <w:pPr>
        <w:spacing w:after="100" w:line="264"/>
        <w:jc w:val="both"/>
      </w:pPr>
      <w:r>
        <w:rPr>
          <w:rFonts w:ascii="Arial" w:cs="Arial" w:eastAsia="Arial" w:hAnsi="Arial"/>
          <w:b w:val="false"/>
          <w:bCs w:val="false"/>
          <w:i w:val="false"/>
          <w:iCs w:val="false"/>
          <w:sz w:val="20"/>
          <w:szCs w:val="20"/>
        </w:rPr>
        <w:t xml:space="preserve">Правила — Правила посещения и техника безопасности, размещённые на информационной стойке Парка и на сайте myakula.ru, являющиеся неотъемлемой частью настоящего договора.</w:t>
      </w:r>
    </w:p>
    <w:p>
      <w:pPr>
        <w:spacing w:after="100" w:line="264"/>
        <w:jc w:val="both"/>
      </w:pPr>
      <w:r>
        <w:rPr>
          <w:rFonts w:ascii="Arial" w:cs="Arial" w:eastAsia="Arial" w:hAnsi="Arial"/>
          <w:b w:val="false"/>
          <w:bCs w:val="false"/>
          <w:i w:val="false"/>
          <w:iCs w:val="false"/>
          <w:sz w:val="20"/>
          <w:szCs w:val="20"/>
        </w:rPr>
        <w:t xml:space="preserve">Согласие — Согласие законного представителя, оформляемое на бумажном носителе при посещении Парка.</w:t>
      </w:r>
    </w:p>
    <w:p>
      <w:pPr>
        <w:spacing w:after="100" w:line="264"/>
        <w:jc w:val="both"/>
      </w:pPr>
      <w:r>
        <w:rPr>
          <w:rFonts w:ascii="Arial" w:cs="Arial" w:eastAsia="Arial" w:hAnsi="Arial"/>
          <w:b w:val="false"/>
          <w:bCs w:val="false"/>
          <w:i w:val="false"/>
          <w:iCs w:val="false"/>
          <w:sz w:val="20"/>
          <w:szCs w:val="20"/>
        </w:rPr>
        <w:t xml:space="preserve">Посетитель — ребёнок, в отношении которого Заказчиком оформлено Согласие.</w:t>
      </w:r>
    </w:p>
    <w:p>
      <w:pPr>
        <w:spacing w:after="100" w:line="264"/>
        <w:jc w:val="both"/>
      </w:pPr>
      <w:r>
        <w:rPr>
          <w:rFonts w:ascii="Arial" w:cs="Arial" w:eastAsia="Arial" w:hAnsi="Arial"/>
          <w:b w:val="false"/>
          <w:bCs w:val="false"/>
          <w:i w:val="false"/>
          <w:iCs w:val="false"/>
          <w:sz w:val="20"/>
          <w:szCs w:val="20"/>
        </w:rPr>
        <w:t xml:space="preserve">Прайс-лист — действующий перечень услуг и их стоимости, размещённый на информационной стойке Парка и на сайте.</w:t>
      </w:r>
    </w:p>
    <w:p>
      <w:pPr>
        <w:spacing w:after="130" w:before="280"/>
      </w:pPr>
      <w:r>
        <w:rPr>
          <w:rFonts w:ascii="Arial" w:cs="Arial" w:eastAsia="Arial" w:hAnsi="Arial"/>
          <w:b/>
          <w:bCs/>
          <w:color w:val="00214B"/>
          <w:sz w:val="23"/>
          <w:szCs w:val="23"/>
        </w:rPr>
        <w:t xml:space="preserve">2. Предмет договора</w:t>
      </w:r>
    </w:p>
    <w:p>
      <w:pPr>
        <w:spacing w:after="80" w:line="264"/>
        <w:ind w:left="504" w:hanging="504"/>
        <w:jc w:val="both"/>
      </w:pPr>
      <w:r>
        <w:rPr>
          <w:rFonts w:ascii="Arial" w:cs="Arial" w:eastAsia="Arial" w:hAnsi="Arial"/>
          <w:b/>
          <w:bCs/>
          <w:sz w:val="20"/>
          <w:szCs w:val="20"/>
        </w:rPr>
        <w:t xml:space="preserve">2.1. </w:t>
      </w:r>
      <w:r>
        <w:rPr>
          <w:rFonts w:ascii="Arial" w:cs="Arial" w:eastAsia="Arial" w:hAnsi="Arial"/>
          <w:sz w:val="20"/>
          <w:szCs w:val="20"/>
        </w:rPr>
        <w:t xml:space="preserve">Исполнитель предоставляет Заказчику право пользования помещением Парка и прокат игрового оборудования, а также оказывает дополнительные услуги согласно Прайс-листу, а Заказчик оплачивает их в порядке и на условиях настоящей оферты.</w:t>
      </w:r>
    </w:p>
    <w:p>
      <w:pPr>
        <w:spacing w:after="80" w:line="264"/>
        <w:ind w:left="504" w:hanging="504"/>
        <w:jc w:val="both"/>
      </w:pPr>
      <w:r>
        <w:rPr>
          <w:rFonts w:ascii="Arial" w:cs="Arial" w:eastAsia="Arial" w:hAnsi="Arial"/>
          <w:b/>
          <w:bCs/>
          <w:sz w:val="20"/>
          <w:szCs w:val="20"/>
        </w:rPr>
        <w:t xml:space="preserve">2.2. Перечень услуг включает: посещение игровой зоны на условиях выбранного тарифа, абонементы, платная помощь администратора при использовании игрового оборудования, проведение детских праздников, мастер-классы и иные услуги, указанные в Прайс-листе.</w:t>
      </w:r>
      <w:r>
        <w:rPr>
          <w:rFonts w:ascii="Arial" w:cs="Arial" w:eastAsia="Arial" w:hAnsi="Arial"/>
          <w:sz w:val="20"/>
          <w:szCs w:val="20"/>
        </w:rPr>
        <w:t xml:space="preserve"/>
      </w:r>
    </w:p>
    <w:p>
      <w:pPr>
        <w:spacing w:after="80" w:line="264"/>
        <w:ind w:left="504" w:hanging="504"/>
        <w:jc w:val="both"/>
      </w:pPr>
      <w:r>
        <w:rPr>
          <w:rFonts w:ascii="Arial" w:cs="Arial" w:eastAsia="Arial" w:hAnsi="Arial"/>
          <w:b/>
          <w:bCs/>
          <w:sz w:val="20"/>
          <w:szCs w:val="20"/>
        </w:rPr>
        <w:t xml:space="preserve">2.3. По запросу законного представителя за дополнительную плату администратор находится рядом с ребёнком, объясняет правила использования оборудования и помогает соблюдать требования безопасности в течение оплаченного времени. Стоимость указана в Прайс-листе. Услуга не отменяет возрастных ограничений и требований к присутствию сопровождающего взрослого. Услуги образовательного и медицинского характера Исполнителем не оказываются. Содержание услуги не включает бытовой уход за ребёнком.</w:t>
      </w:r>
      <w:r>
        <w:rPr>
          <w:rFonts w:ascii="Arial" w:cs="Arial" w:eastAsia="Arial" w:hAnsi="Arial"/>
          <w:sz w:val="20"/>
          <w:szCs w:val="20"/>
        </w:rPr>
        <w:t xml:space="preserve"/>
      </w:r>
    </w:p>
    <w:p>
      <w:pPr>
        <w:spacing w:after="80" w:line="264"/>
        <w:ind w:left="504" w:hanging="504"/>
        <w:jc w:val="both"/>
      </w:pPr>
      <w:r>
        <w:rPr>
          <w:rFonts w:ascii="Arial" w:cs="Arial" w:eastAsia="Arial" w:hAnsi="Arial"/>
          <w:b/>
          <w:bCs/>
          <w:sz w:val="20"/>
          <w:szCs w:val="20"/>
        </w:rPr>
        <w:t xml:space="preserve">2.4. </w:t>
      </w:r>
      <w:r>
        <w:rPr>
          <w:rFonts w:ascii="Arial" w:cs="Arial" w:eastAsia="Arial" w:hAnsi="Arial"/>
          <w:sz w:val="20"/>
          <w:szCs w:val="20"/>
        </w:rPr>
        <w:t xml:space="preserve">Условия допуска Посетителей по возрасту, порядок нахождения детей в Парке, требования безопасности и порядок передачи Посетителя определяются Правилами.</w:t>
      </w:r>
    </w:p>
    <w:p>
      <w:pPr>
        <w:spacing w:after="130" w:before="280"/>
      </w:pPr>
      <w:r>
        <w:rPr>
          <w:rFonts w:ascii="Arial" w:cs="Arial" w:eastAsia="Arial" w:hAnsi="Arial"/>
          <w:b/>
          <w:bCs/>
          <w:color w:val="00214B"/>
          <w:sz w:val="23"/>
          <w:szCs w:val="23"/>
        </w:rPr>
        <w:t xml:space="preserve">3. Акцепт оферты</w:t>
      </w:r>
    </w:p>
    <w:p>
      <w:pPr>
        <w:spacing w:after="80" w:line="264"/>
        <w:ind w:left="504" w:hanging="504"/>
        <w:jc w:val="both"/>
      </w:pPr>
      <w:r>
        <w:rPr>
          <w:rFonts w:ascii="Arial" w:cs="Arial" w:eastAsia="Arial" w:hAnsi="Arial"/>
          <w:b/>
          <w:bCs/>
          <w:sz w:val="20"/>
          <w:szCs w:val="20"/>
        </w:rPr>
        <w:t xml:space="preserve">3.1. </w:t>
      </w:r>
      <w:r>
        <w:rPr>
          <w:rFonts w:ascii="Arial" w:cs="Arial" w:eastAsia="Arial" w:hAnsi="Arial"/>
          <w:sz w:val="20"/>
          <w:szCs w:val="20"/>
        </w:rPr>
        <w:t xml:space="preserve">Акцептом настоящей оферты является любое из следующих действий Заказчика: оплата услуг Исполнителя наличными, банковской картой или иным способом, в том числе онлайн на сайте; подписание Согласия; фактическое начало пользования услугами Парка.</w:t>
      </w:r>
    </w:p>
    <w:p>
      <w:pPr>
        <w:spacing w:after="80" w:line="264"/>
        <w:ind w:left="504" w:hanging="504"/>
        <w:jc w:val="both"/>
      </w:pPr>
      <w:r>
        <w:rPr>
          <w:rFonts w:ascii="Arial" w:cs="Arial" w:eastAsia="Arial" w:hAnsi="Arial"/>
          <w:b/>
          <w:bCs/>
          <w:sz w:val="20"/>
          <w:szCs w:val="20"/>
        </w:rPr>
        <w:t xml:space="preserve">3.2. </w:t>
      </w:r>
      <w:r>
        <w:rPr>
          <w:rFonts w:ascii="Arial" w:cs="Arial" w:eastAsia="Arial" w:hAnsi="Arial"/>
          <w:sz w:val="20"/>
          <w:szCs w:val="20"/>
        </w:rPr>
        <w:t xml:space="preserve">С момента акцепта договор считается заключённым. Заказчик подтверждает, что ознакомлен с Правилами и Прайс-листом, принимает их и обязуется соблюдать, а также разъяснил Правила Посетителю.</w:t>
      </w:r>
    </w:p>
    <w:p>
      <w:pPr>
        <w:spacing w:after="80" w:line="264"/>
        <w:ind w:left="504" w:hanging="504"/>
        <w:jc w:val="both"/>
      </w:pPr>
      <w:r>
        <w:rPr>
          <w:rFonts w:ascii="Arial" w:cs="Arial" w:eastAsia="Arial" w:hAnsi="Arial"/>
          <w:b/>
          <w:bCs/>
          <w:sz w:val="20"/>
          <w:szCs w:val="20"/>
        </w:rPr>
        <w:t xml:space="preserve">3.3. </w:t>
      </w:r>
      <w:r>
        <w:rPr>
          <w:rFonts w:ascii="Arial" w:cs="Arial" w:eastAsia="Arial" w:hAnsi="Arial"/>
          <w:sz w:val="20"/>
          <w:szCs w:val="20"/>
        </w:rPr>
        <w:t xml:space="preserve">Настоящая оферта является договором присоединения в значении статьи 428 Гражданского кодекса РФ. Её условия принимаются Заказчиком целиком.</w:t>
      </w:r>
    </w:p>
    <w:p>
      <w:pPr>
        <w:spacing w:after="130" w:before="280"/>
      </w:pPr>
      <w:r>
        <w:rPr>
          <w:rFonts w:ascii="Arial" w:cs="Arial" w:eastAsia="Arial" w:hAnsi="Arial"/>
          <w:b/>
          <w:bCs/>
          <w:color w:val="00214B"/>
          <w:sz w:val="23"/>
          <w:szCs w:val="23"/>
        </w:rPr>
        <w:t xml:space="preserve">4. Стоимость и порядок оплаты</w:t>
      </w:r>
    </w:p>
    <w:p>
      <w:pPr>
        <w:spacing w:after="80" w:line="264"/>
        <w:ind w:left="504" w:hanging="504"/>
        <w:jc w:val="both"/>
      </w:pPr>
      <w:r>
        <w:rPr>
          <w:rFonts w:ascii="Arial" w:cs="Arial" w:eastAsia="Arial" w:hAnsi="Arial"/>
          <w:b/>
          <w:bCs/>
          <w:sz w:val="20"/>
          <w:szCs w:val="20"/>
        </w:rPr>
        <w:t xml:space="preserve">4.1. </w:t>
      </w:r>
      <w:r>
        <w:rPr>
          <w:rFonts w:ascii="Arial" w:cs="Arial" w:eastAsia="Arial" w:hAnsi="Arial"/>
          <w:sz w:val="20"/>
          <w:szCs w:val="20"/>
        </w:rPr>
        <w:t xml:space="preserve">Стоимость услуг определяется Прайс-листом, действующим на момент оказания услуги.</w:t>
      </w:r>
    </w:p>
    <w:p>
      <w:pPr>
        <w:spacing w:after="80" w:line="264"/>
        <w:ind w:left="504" w:hanging="504"/>
        <w:jc w:val="both"/>
      </w:pPr>
      <w:r>
        <w:rPr>
          <w:rFonts w:ascii="Arial" w:cs="Arial" w:eastAsia="Arial" w:hAnsi="Arial"/>
          <w:b/>
          <w:bCs/>
          <w:sz w:val="20"/>
          <w:szCs w:val="20"/>
        </w:rPr>
        <w:t xml:space="preserve">4.2. </w:t>
      </w:r>
      <w:r>
        <w:rPr>
          <w:rFonts w:ascii="Arial" w:cs="Arial" w:eastAsia="Arial" w:hAnsi="Arial"/>
          <w:sz w:val="20"/>
          <w:szCs w:val="20"/>
        </w:rPr>
        <w:t xml:space="preserve">Оплата производится авансом до начала оказания услуги. Способы оплаты: наличными или банковской картой в Парке, а также онлайн на сайте myakula.ru.</w:t>
      </w:r>
    </w:p>
    <w:p>
      <w:pPr>
        <w:spacing w:after="80" w:line="264"/>
        <w:ind w:left="504" w:hanging="504"/>
        <w:jc w:val="both"/>
      </w:pPr>
      <w:r>
        <w:rPr>
          <w:rFonts w:ascii="Arial" w:cs="Arial" w:eastAsia="Arial" w:hAnsi="Arial"/>
          <w:b/>
          <w:bCs/>
          <w:sz w:val="20"/>
          <w:szCs w:val="20"/>
        </w:rPr>
        <w:t xml:space="preserve">4.3. </w:t>
      </w:r>
      <w:r>
        <w:rPr>
          <w:rFonts w:ascii="Arial" w:cs="Arial" w:eastAsia="Arial" w:hAnsi="Arial"/>
          <w:sz w:val="20"/>
          <w:szCs w:val="20"/>
        </w:rPr>
        <w:t xml:space="preserve">При онлайн-оплате обработка платежа осуществляется платёжным сервисом. Исполнитель не получает и не хранит данные банковских карт Заказчика.</w:t>
      </w:r>
    </w:p>
    <w:p>
      <w:pPr>
        <w:spacing w:after="80" w:line="264"/>
        <w:ind w:left="504" w:hanging="504"/>
        <w:jc w:val="both"/>
      </w:pPr>
      <w:r>
        <w:rPr>
          <w:rFonts w:ascii="Arial" w:cs="Arial" w:eastAsia="Arial" w:hAnsi="Arial"/>
          <w:b/>
          <w:bCs/>
          <w:sz w:val="20"/>
          <w:szCs w:val="20"/>
        </w:rPr>
        <w:t xml:space="preserve">4.4. </w:t>
      </w:r>
      <w:r>
        <w:rPr>
          <w:rFonts w:ascii="Arial" w:cs="Arial" w:eastAsia="Arial" w:hAnsi="Arial"/>
          <w:sz w:val="20"/>
          <w:szCs w:val="20"/>
        </w:rPr>
        <w:t xml:space="preserve">Отсчёт оплаченного времени начинается с момента входа Посетителя в игровую зону, что фиксируется администратором.</w:t>
      </w:r>
    </w:p>
    <w:p>
      <w:pPr>
        <w:spacing w:after="80" w:line="264"/>
        <w:ind w:left="504" w:hanging="504"/>
        <w:jc w:val="both"/>
      </w:pPr>
      <w:r>
        <w:rPr>
          <w:rFonts w:ascii="Arial" w:cs="Arial" w:eastAsia="Arial" w:hAnsi="Arial"/>
          <w:b/>
          <w:bCs/>
          <w:sz w:val="20"/>
          <w:szCs w:val="20"/>
        </w:rPr>
        <w:t xml:space="preserve">4.5. </w:t>
      </w:r>
      <w:r>
        <w:rPr>
          <w:rFonts w:ascii="Arial" w:cs="Arial" w:eastAsia="Arial" w:hAnsi="Arial"/>
          <w:sz w:val="20"/>
          <w:szCs w:val="20"/>
        </w:rPr>
        <w:t xml:space="preserve">При превышении оплаченного времени Заказчик доплачивает за каждые начатые 30 минут по Прайс-листу.</w:t>
      </w:r>
    </w:p>
    <w:p>
      <w:pPr>
        <w:spacing w:after="80" w:line="264"/>
        <w:ind w:left="504" w:hanging="504"/>
        <w:jc w:val="both"/>
      </w:pPr>
      <w:r>
        <w:rPr>
          <w:rFonts w:ascii="Arial" w:cs="Arial" w:eastAsia="Arial" w:hAnsi="Arial"/>
          <w:b/>
          <w:bCs/>
          <w:sz w:val="20"/>
          <w:szCs w:val="20"/>
        </w:rPr>
        <w:t xml:space="preserve">4.6. </w:t>
      </w:r>
      <w:r>
        <w:rPr>
          <w:rFonts w:ascii="Arial" w:cs="Arial" w:eastAsia="Arial" w:hAnsi="Arial"/>
          <w:sz w:val="20"/>
          <w:szCs w:val="20"/>
        </w:rPr>
        <w:t xml:space="preserve">Исполнитель вправе изменять Прайс-лист. Изменения не распространяются на уже оплаченные услуги и приобретённые абонементы.</w:t>
      </w:r>
    </w:p>
    <w:p>
      <w:pPr>
        <w:spacing w:after="130" w:before="280"/>
      </w:pPr>
      <w:r>
        <w:rPr>
          <w:rFonts w:ascii="Arial" w:cs="Arial" w:eastAsia="Arial" w:hAnsi="Arial"/>
          <w:b/>
          <w:bCs/>
          <w:color w:val="00214B"/>
          <w:sz w:val="23"/>
          <w:szCs w:val="23"/>
        </w:rPr>
        <w:t xml:space="preserve">5. Абонементы</w:t>
      </w:r>
    </w:p>
    <w:p>
      <w:pPr>
        <w:spacing w:after="80" w:line="264"/>
        <w:ind w:left="504" w:hanging="504"/>
        <w:jc w:val="both"/>
      </w:pPr>
      <w:r>
        <w:rPr>
          <w:rFonts w:ascii="Arial" w:cs="Arial" w:eastAsia="Arial" w:hAnsi="Arial"/>
          <w:b/>
          <w:bCs/>
          <w:sz w:val="20"/>
          <w:szCs w:val="20"/>
        </w:rPr>
        <w:t xml:space="preserve">5.1. </w:t>
      </w:r>
      <w:r>
        <w:rPr>
          <w:rFonts w:ascii="Arial" w:cs="Arial" w:eastAsia="Arial" w:hAnsi="Arial"/>
          <w:sz w:val="20"/>
          <w:szCs w:val="20"/>
        </w:rPr>
        <w:t xml:space="preserve">Абонемент даёт право на посещение Парка в объёме, указанном в Прайс-листе.</w:t>
      </w:r>
    </w:p>
    <w:p>
      <w:pPr>
        <w:spacing w:after="80" w:line="264"/>
        <w:ind w:left="504" w:hanging="504"/>
        <w:jc w:val="both"/>
      </w:pPr>
      <w:r>
        <w:rPr>
          <w:rFonts w:ascii="Arial" w:cs="Arial" w:eastAsia="Arial" w:hAnsi="Arial"/>
          <w:b/>
          <w:bCs/>
          <w:sz w:val="20"/>
          <w:szCs w:val="20"/>
        </w:rPr>
        <w:t xml:space="preserve">5.2. Срок действия абонемента — 6 месяцев с даты приобретения, если иное не указано в Прайс-листе. Вопрос возврата оплаты за неоказанные услуги рассматривается в соответствии с разделом 8 и законодательством Российской Федерации.</w:t>
      </w:r>
      <w:r>
        <w:rPr>
          <w:rFonts w:ascii="Arial" w:cs="Arial" w:eastAsia="Arial" w:hAnsi="Arial"/>
          <w:sz w:val="20"/>
          <w:szCs w:val="20"/>
        </w:rPr>
        <w:t xml:space="preserve"/>
      </w:r>
    </w:p>
    <w:p>
      <w:pPr>
        <w:spacing w:after="80" w:line="264"/>
        <w:ind w:left="504" w:hanging="504"/>
        <w:jc w:val="both"/>
      </w:pPr>
      <w:r>
        <w:rPr>
          <w:rFonts w:ascii="Arial" w:cs="Arial" w:eastAsia="Arial" w:hAnsi="Arial"/>
          <w:b/>
          <w:bCs/>
          <w:sz w:val="20"/>
          <w:szCs w:val="20"/>
        </w:rPr>
        <w:t xml:space="preserve">5.3. </w:t>
      </w:r>
      <w:r>
        <w:rPr>
          <w:rFonts w:ascii="Arial" w:cs="Arial" w:eastAsia="Arial" w:hAnsi="Arial"/>
          <w:sz w:val="20"/>
          <w:szCs w:val="20"/>
        </w:rPr>
        <w:t xml:space="preserve">Абонемент является именным и не подлежит передаче третьим лицам.</w:t>
      </w:r>
    </w:p>
    <w:p>
      <w:pPr>
        <w:spacing w:after="80" w:line="264"/>
        <w:ind w:left="504" w:hanging="504"/>
        <w:jc w:val="both"/>
      </w:pPr>
      <w:r>
        <w:rPr>
          <w:rFonts w:ascii="Arial" w:cs="Arial" w:eastAsia="Arial" w:hAnsi="Arial"/>
          <w:b/>
          <w:bCs/>
          <w:sz w:val="20"/>
          <w:szCs w:val="20"/>
        </w:rPr>
        <w:t xml:space="preserve">5.4. Заказчик вправе в любое время отказаться от абонемента; в этом случае возврат рассчитывается исходя из стоимости абонемента и фактически использованного объёма услуг, с учётом документально подтверждённых расходов по договору без повторного удержания одних и тех же сумм.</w:t>
      </w:r>
      <w:r>
        <w:rPr>
          <w:rFonts w:ascii="Arial" w:cs="Arial" w:eastAsia="Arial" w:hAnsi="Arial"/>
          <w:sz w:val="20"/>
          <w:szCs w:val="20"/>
        </w:rPr>
        <w:t xml:space="preserve"/>
      </w:r>
    </w:p>
    <w:p>
      <w:pPr>
        <w:spacing w:after="130" w:before="280"/>
      </w:pPr>
      <w:r>
        <w:rPr>
          <w:rFonts w:ascii="Arial" w:cs="Arial" w:eastAsia="Arial" w:hAnsi="Arial"/>
          <w:b/>
          <w:bCs/>
          <w:color w:val="00214B"/>
          <w:sz w:val="23"/>
          <w:szCs w:val="23"/>
        </w:rPr>
        <w:t xml:space="preserve">6. Проведение детских праздников</w:t>
      </w:r>
    </w:p>
    <w:p>
      <w:pPr>
        <w:spacing w:after="80" w:line="264"/>
        <w:ind w:left="504" w:hanging="504"/>
        <w:jc w:val="both"/>
      </w:pPr>
      <w:r>
        <w:rPr>
          <w:rFonts w:ascii="Arial" w:cs="Arial" w:eastAsia="Arial" w:hAnsi="Arial"/>
          <w:b/>
          <w:bCs/>
          <w:sz w:val="20"/>
          <w:szCs w:val="20"/>
        </w:rPr>
        <w:t xml:space="preserve">6.1. </w:t>
      </w:r>
      <w:r>
        <w:rPr>
          <w:rFonts w:ascii="Arial" w:cs="Arial" w:eastAsia="Arial" w:hAnsi="Arial"/>
          <w:sz w:val="20"/>
          <w:szCs w:val="20"/>
        </w:rPr>
        <w:t xml:space="preserve">Праздник бронируется не позднее чем за 7 дней до планируемой даты. Бронирование считается подтверждённым после внесения предоплаты в размере 20% стоимости выбранного пакета.</w:t>
      </w:r>
    </w:p>
    <w:p>
      <w:pPr>
        <w:spacing w:after="80" w:line="264"/>
        <w:ind w:left="504" w:hanging="504"/>
        <w:jc w:val="both"/>
      </w:pPr>
      <w:r>
        <w:rPr>
          <w:rFonts w:ascii="Arial" w:cs="Arial" w:eastAsia="Arial" w:hAnsi="Arial"/>
          <w:b/>
          <w:bCs/>
          <w:sz w:val="20"/>
          <w:szCs w:val="20"/>
        </w:rPr>
        <w:t xml:space="preserve">6.2. </w:t>
      </w:r>
      <w:r>
        <w:rPr>
          <w:rFonts w:ascii="Arial" w:cs="Arial" w:eastAsia="Arial" w:hAnsi="Arial"/>
          <w:sz w:val="20"/>
          <w:szCs w:val="20"/>
        </w:rPr>
        <w:t xml:space="preserve">Остаток стоимости вносится в день проведения праздника.</w:t>
      </w:r>
    </w:p>
    <w:p>
      <w:pPr>
        <w:spacing w:after="80" w:line="264"/>
        <w:ind w:left="504" w:hanging="504"/>
        <w:jc w:val="both"/>
      </w:pPr>
      <w:r>
        <w:rPr>
          <w:rFonts w:ascii="Arial" w:cs="Arial" w:eastAsia="Arial" w:hAnsi="Arial"/>
          <w:b/>
          <w:bCs/>
          <w:sz w:val="20"/>
          <w:szCs w:val="20"/>
        </w:rPr>
        <w:t xml:space="preserve">6.3. При отказе Заказчика от праздника менее чем за 3 дня до даты проведения из предоплаты удерживаются только фактически понесённые и документально подтверждённые расходы, непосредственно связанные с подготовкой этого праздника. Исполнитель предоставляет расчёт и подтверждение расходов. Неиспользованный остаток предоплаты возвращается; само по себе позднее уведомление не является основанием для удержания всей предоплаты.</w:t>
      </w:r>
      <w:r>
        <w:rPr>
          <w:rFonts w:ascii="Arial" w:cs="Arial" w:eastAsia="Arial" w:hAnsi="Arial"/>
          <w:sz w:val="20"/>
          <w:szCs w:val="20"/>
        </w:rPr>
        <w:t xml:space="preserve"/>
      </w:r>
    </w:p>
    <w:p>
      <w:pPr>
        <w:spacing w:after="80" w:line="264"/>
        <w:ind w:left="504" w:hanging="504"/>
        <w:jc w:val="both"/>
      </w:pPr>
      <w:r>
        <w:rPr>
          <w:rFonts w:ascii="Arial" w:cs="Arial" w:eastAsia="Arial" w:hAnsi="Arial"/>
          <w:b/>
          <w:bCs/>
          <w:sz w:val="20"/>
          <w:szCs w:val="20"/>
        </w:rPr>
        <w:t xml:space="preserve">6.4. </w:t>
      </w:r>
      <w:r>
        <w:rPr>
          <w:rFonts w:ascii="Arial" w:cs="Arial" w:eastAsia="Arial" w:hAnsi="Arial"/>
          <w:sz w:val="20"/>
          <w:szCs w:val="20"/>
        </w:rPr>
        <w:t xml:space="preserve">При отказе Заказчика ранее чем за 3 дня предоплата возвращается в полном объёме.</w:t>
      </w:r>
    </w:p>
    <w:p>
      <w:pPr>
        <w:spacing w:after="80" w:line="264"/>
        <w:ind w:left="504" w:hanging="504"/>
        <w:jc w:val="both"/>
      </w:pPr>
      <w:r>
        <w:rPr>
          <w:rFonts w:ascii="Arial" w:cs="Arial" w:eastAsia="Arial" w:hAnsi="Arial"/>
          <w:b/>
          <w:bCs/>
          <w:sz w:val="20"/>
          <w:szCs w:val="20"/>
        </w:rPr>
        <w:t xml:space="preserve">6.5. </w:t>
      </w:r>
      <w:r>
        <w:rPr>
          <w:rFonts w:ascii="Arial" w:cs="Arial" w:eastAsia="Arial" w:hAnsi="Arial"/>
          <w:sz w:val="20"/>
          <w:szCs w:val="20"/>
        </w:rPr>
        <w:t xml:space="preserve">Приготовление блюд в Парке не осуществляется. Торт и угощения предоставляются Заказчиком самостоятельно. Пронос и использование пиротехники, бенгальских огней и свечей-фонтанов запрещены.</w:t>
      </w:r>
    </w:p>
    <w:p>
      <w:pPr>
        <w:spacing w:after="80" w:line="264"/>
        <w:ind w:left="504" w:hanging="504"/>
        <w:jc w:val="both"/>
      </w:pPr>
      <w:r>
        <w:rPr>
          <w:rFonts w:ascii="Arial" w:cs="Arial" w:eastAsia="Arial" w:hAnsi="Arial"/>
          <w:b/>
          <w:bCs/>
          <w:sz w:val="20"/>
          <w:szCs w:val="20"/>
        </w:rPr>
        <w:t xml:space="preserve">6.6. </w:t>
      </w:r>
      <w:r>
        <w:rPr>
          <w:rFonts w:ascii="Arial" w:cs="Arial" w:eastAsia="Arial" w:hAnsi="Arial"/>
          <w:sz w:val="20"/>
          <w:szCs w:val="20"/>
        </w:rPr>
        <w:t xml:space="preserve">Количество участников сверх включённого в пакет оплачивается дополнительно по Прайс-листу.</w:t>
      </w:r>
    </w:p>
    <w:p>
      <w:pPr>
        <w:spacing w:after="130" w:before="280"/>
      </w:pPr>
      <w:r>
        <w:rPr>
          <w:rFonts w:ascii="Arial" w:cs="Arial" w:eastAsia="Arial" w:hAnsi="Arial"/>
          <w:b/>
          <w:bCs/>
          <w:color w:val="00214B"/>
          <w:sz w:val="23"/>
          <w:szCs w:val="23"/>
        </w:rPr>
        <w:t xml:space="preserve">7. Права и обязанности сторон</w:t>
      </w:r>
    </w:p>
    <w:p>
      <w:pPr>
        <w:spacing w:after="60" w:line="264"/>
        <w:jc w:val="both"/>
      </w:pPr>
      <w:r>
        <w:rPr>
          <w:rFonts w:ascii="Arial" w:cs="Arial" w:eastAsia="Arial" w:hAnsi="Arial"/>
          <w:b/>
          <w:bCs/>
          <w:i w:val="false"/>
          <w:iCs w:val="false"/>
          <w:sz w:val="20"/>
          <w:szCs w:val="20"/>
        </w:rPr>
        <w:t xml:space="preserve">Исполнитель обязуется:</w:t>
      </w:r>
    </w:p>
    <w:p>
      <w:pPr>
        <w:pStyle w:val="ListParagraph"/>
        <w:numPr>
          <w:ilvl w:val="0"/>
          <w:numId w:val="2"/>
        </w:numPr>
        <w:spacing w:after="60" w:line="264"/>
        <w:jc w:val="both"/>
      </w:pPr>
      <w:r>
        <w:rPr>
          <w:rFonts w:ascii="Arial" w:cs="Arial" w:eastAsia="Arial" w:hAnsi="Arial"/>
          <w:sz w:val="20"/>
          <w:szCs w:val="20"/>
        </w:rPr>
        <w:t xml:space="preserve">оказать услуги в объёме и в сроки, соответствующие выбранному тарифу;</w:t>
      </w:r>
    </w:p>
    <w:p>
      <w:pPr>
        <w:pStyle w:val="ListParagraph"/>
        <w:numPr>
          <w:ilvl w:val="0"/>
          <w:numId w:val="2"/>
        </w:numPr>
        <w:spacing w:after="60" w:line="264"/>
        <w:jc w:val="both"/>
      </w:pPr>
      <w:r>
        <w:rPr>
          <w:rFonts w:ascii="Arial" w:cs="Arial" w:eastAsia="Arial" w:hAnsi="Arial"/>
          <w:sz w:val="20"/>
          <w:szCs w:val="20"/>
        </w:rPr>
        <w:t xml:space="preserve">обеспечивать исправное техническое состояние игрового оборудования и его регулярное обслуживание;</w:t>
      </w:r>
    </w:p>
    <w:p>
      <w:pPr>
        <w:pStyle w:val="ListParagraph"/>
        <w:numPr>
          <w:ilvl w:val="0"/>
          <w:numId w:val="2"/>
        </w:numPr>
        <w:spacing w:after="60" w:line="264"/>
        <w:jc w:val="both"/>
      </w:pPr>
      <w:r>
        <w:rPr>
          <w:rFonts w:ascii="Arial" w:cs="Arial" w:eastAsia="Arial" w:hAnsi="Arial"/>
          <w:sz w:val="20"/>
          <w:szCs w:val="20"/>
        </w:rPr>
        <w:t xml:space="preserve">обеспечить наблюдение администратора за соблюдением посетителями Правил и техники безопасности;</w:t>
      </w:r>
    </w:p>
    <w:p>
      <w:pPr>
        <w:pStyle w:val="ListParagraph"/>
        <w:numPr>
          <w:ilvl w:val="0"/>
          <w:numId w:val="2"/>
        </w:numPr>
        <w:spacing w:after="60" w:line="264"/>
        <w:jc w:val="both"/>
      </w:pPr>
      <w:r>
        <w:rPr>
          <w:rFonts w:ascii="Arial" w:cs="Arial" w:eastAsia="Arial" w:hAnsi="Arial"/>
          <w:sz w:val="20"/>
          <w:szCs w:val="20"/>
        </w:rPr>
        <w:t xml:space="preserve">разместить Правила и Прайс-лист в доступном для ознакомления месте.</w:t>
      </w:r>
    </w:p>
    <w:p>
      <w:pPr>
        <w:spacing w:after="60" w:line="264"/>
        <w:jc w:val="both"/>
      </w:pPr>
      <w:r>
        <w:rPr>
          <w:rFonts w:ascii="Arial" w:cs="Arial" w:eastAsia="Arial" w:hAnsi="Arial"/>
          <w:b/>
          <w:bCs/>
          <w:i w:val="false"/>
          <w:iCs w:val="false"/>
          <w:sz w:val="20"/>
          <w:szCs w:val="20"/>
        </w:rPr>
        <w:t xml:space="preserve">Заказчик обязуется:</w:t>
      </w:r>
    </w:p>
    <w:p>
      <w:pPr>
        <w:pStyle w:val="ListParagraph"/>
        <w:numPr>
          <w:ilvl w:val="0"/>
          <w:numId w:val="2"/>
        </w:numPr>
        <w:spacing w:after="60" w:line="264"/>
        <w:jc w:val="both"/>
      </w:pPr>
      <w:r>
        <w:rPr>
          <w:rFonts w:ascii="Arial" w:cs="Arial" w:eastAsia="Arial" w:hAnsi="Arial"/>
          <w:sz w:val="20"/>
          <w:szCs w:val="20"/>
        </w:rPr>
        <w:t xml:space="preserve">ознакомиться с Правилами и Прайс-листом и разъяснить Правила Посетителю;</w:t>
      </w:r>
    </w:p>
    <w:p>
      <w:pPr>
        <w:pStyle w:val="ListParagraph"/>
        <w:numPr>
          <w:ilvl w:val="0"/>
          <w:numId w:val="2"/>
        </w:numPr>
        <w:spacing w:after="60" w:line="264"/>
        <w:jc w:val="both"/>
      </w:pPr>
      <w:r>
        <w:rPr>
          <w:rFonts w:ascii="Arial" w:cs="Arial" w:eastAsia="Arial" w:hAnsi="Arial"/>
          <w:sz w:val="20"/>
          <w:szCs w:val="20"/>
        </w:rPr>
        <w:t xml:space="preserve">оформить Согласие законного представителя и предоставить достоверные сведения;</w:t>
      </w:r>
    </w:p>
    <w:p>
      <w:pPr>
        <w:pStyle w:val="ListParagraph"/>
        <w:numPr>
          <w:ilvl w:val="0"/>
          <w:numId w:val="2"/>
        </w:numPr>
        <w:spacing w:after="60" w:line="264"/>
        <w:jc w:val="both"/>
      </w:pPr>
      <w:r>
        <w:rPr>
          <w:rFonts w:ascii="Arial" w:cs="Arial" w:eastAsia="Arial" w:hAnsi="Arial"/>
          <w:sz w:val="20"/>
          <w:szCs w:val="20"/>
        </w:rPr>
        <w:t xml:space="preserve">самостоятельно оценить соответствие Посетителя ограничениям по возрасту, росту и весу, установленным для игрового оборудования;</w:t>
      </w:r>
    </w:p>
    <w:p>
      <w:pPr>
        <w:pStyle w:val="ListParagraph"/>
        <w:numPr>
          <w:ilvl w:val="0"/>
          <w:numId w:val="2"/>
        </w:numPr>
        <w:spacing w:after="60" w:line="264"/>
        <w:jc w:val="both"/>
      </w:pPr>
      <w:r>
        <w:rPr>
          <w:rFonts w:ascii="Arial" w:cs="Arial" w:eastAsia="Arial" w:hAnsi="Arial"/>
          <w:sz w:val="20"/>
          <w:szCs w:val="20"/>
        </w:rPr>
        <w:t xml:space="preserve">оплатить услуги в порядке, установленном настоящей офертой;</w:t>
      </w:r>
    </w:p>
    <w:p>
      <w:pPr>
        <w:pStyle w:val="ListParagraph"/>
        <w:numPr>
          <w:ilvl w:val="0"/>
          <w:numId w:val="2"/>
        </w:numPr>
        <w:spacing w:after="60" w:line="264"/>
        <w:jc w:val="both"/>
      </w:pPr>
      <w:r>
        <w:rPr>
          <w:rFonts w:ascii="Arial" w:cs="Arial" w:eastAsia="Arial" w:hAnsi="Arial"/>
          <w:sz w:val="20"/>
          <w:szCs w:val="20"/>
        </w:rPr>
        <w:t xml:space="preserve">возместить ущерб, причинённый имуществу Исполнителя.</w:t>
      </w:r>
    </w:p>
    <w:p>
      <w:pPr>
        <w:spacing w:after="100" w:line="264"/>
        <w:jc w:val="both"/>
      </w:pPr>
      <w:r>
        <w:rPr>
          <w:rFonts w:ascii="Arial" w:cs="Arial" w:eastAsia="Arial" w:hAnsi="Arial"/>
          <w:b w:val="false"/>
          <w:bCs w:val="false"/>
          <w:i w:val="false"/>
          <w:iCs w:val="false"/>
          <w:sz w:val="20"/>
          <w:szCs w:val="20"/>
        </w:rPr>
        <w:t xml:space="preserve">Исполнитель вправе отказать в оказании услуг по основаниям, предусмотренным Правилами, в том числе при превышении допустимой заполняемости Парка, при признаках заболевания у Посетителя и при нарушении Правил.</w:t>
      </w:r>
    </w:p>
    <w:p>
      <w:pPr>
        <w:spacing w:after="130" w:before="280"/>
      </w:pPr>
      <w:r>
        <w:rPr>
          <w:rFonts w:ascii="Arial" w:cs="Arial" w:eastAsia="Arial" w:hAnsi="Arial"/>
          <w:b/>
          <w:bCs/>
          <w:color w:val="00214B"/>
          <w:sz w:val="23"/>
          <w:szCs w:val="23"/>
        </w:rPr>
        <w:t xml:space="preserve">8. Возврат денежных средств</w:t>
      </w:r>
    </w:p>
    <w:p>
      <w:pPr>
        <w:spacing w:after="80" w:line="264"/>
        <w:ind w:left="504" w:hanging="504"/>
        <w:jc w:val="both"/>
      </w:pPr>
      <w:r>
        <w:rPr>
          <w:rFonts w:ascii="Arial" w:cs="Arial" w:eastAsia="Arial" w:hAnsi="Arial"/>
          <w:b/>
          <w:bCs/>
          <w:sz w:val="20"/>
          <w:szCs w:val="20"/>
        </w:rPr>
        <w:t xml:space="preserve">8.1. </w:t>
      </w:r>
      <w:r>
        <w:rPr>
          <w:rFonts w:ascii="Arial" w:cs="Arial" w:eastAsia="Arial" w:hAnsi="Arial"/>
          <w:sz w:val="20"/>
          <w:szCs w:val="20"/>
        </w:rPr>
        <w:t xml:space="preserve">Заказчик вправе отказаться от исполнения договора в любое время в соответствии со статьёй 32 Закона РФ «О защите прав потребителей».</w:t>
      </w:r>
    </w:p>
    <w:p>
      <w:pPr>
        <w:spacing w:after="80" w:line="264"/>
        <w:ind w:left="504" w:hanging="504"/>
        <w:jc w:val="both"/>
      </w:pPr>
      <w:r>
        <w:rPr>
          <w:rFonts w:ascii="Arial" w:cs="Arial" w:eastAsia="Arial" w:hAnsi="Arial"/>
          <w:b/>
          <w:bCs/>
          <w:sz w:val="20"/>
          <w:szCs w:val="20"/>
        </w:rPr>
        <w:t xml:space="preserve">8.2. При отказе до начала оказания услуги уплаченная сумма возвращается за вычетом фактически понесённых и документально подтверждённых расходов по данному договору. Более благоприятные для Заказчика условия возврата предоплаты за праздник установлены пунктом 6.4.</w:t>
      </w:r>
      <w:r>
        <w:rPr>
          <w:rFonts w:ascii="Arial" w:cs="Arial" w:eastAsia="Arial" w:hAnsi="Arial"/>
          <w:sz w:val="20"/>
          <w:szCs w:val="20"/>
        </w:rPr>
        <w:t xml:space="preserve"/>
      </w:r>
    </w:p>
    <w:p>
      <w:pPr>
        <w:spacing w:after="80" w:line="264"/>
        <w:ind w:left="504" w:hanging="504"/>
        <w:jc w:val="both"/>
      </w:pPr>
      <w:r>
        <w:rPr>
          <w:rFonts w:ascii="Arial" w:cs="Arial" w:eastAsia="Arial" w:hAnsi="Arial"/>
          <w:b/>
          <w:bCs/>
          <w:sz w:val="20"/>
          <w:szCs w:val="20"/>
        </w:rPr>
        <w:t xml:space="preserve">8.3. При досрочном прекращении посещения Заказчик сообщает администратору об отказе от дальнейшего оказания услуг. Администратор фиксирует время прекращения посещения. Возвращается уплаченная сумма за вычетом стоимости фактически оказанной части услуги, рассчитанной пропорционально использованному времени в рамках приобретённого тарифа, и документально подтверждённых расходов по данному договору, не учтённых в стоимости оказанной части. Двойное удержание одних и тех же сумм не допускается.</w:t>
      </w:r>
      <w:r>
        <w:rPr>
          <w:rFonts w:ascii="Arial" w:cs="Arial" w:eastAsia="Arial" w:hAnsi="Arial"/>
          <w:sz w:val="20"/>
          <w:szCs w:val="20"/>
        </w:rPr>
        <w:t xml:space="preserve"/>
      </w:r>
    </w:p>
    <w:p>
      <w:pPr>
        <w:spacing w:after="80" w:line="264"/>
        <w:ind w:left="504" w:hanging="504"/>
        <w:jc w:val="both"/>
      </w:pPr>
      <w:r>
        <w:rPr>
          <w:rFonts w:ascii="Arial" w:cs="Arial" w:eastAsia="Arial" w:hAnsi="Arial"/>
          <w:b/>
          <w:bCs/>
          <w:sz w:val="20"/>
          <w:szCs w:val="20"/>
        </w:rPr>
        <w:t xml:space="preserve">8.4. </w:t>
      </w:r>
      <w:r>
        <w:rPr>
          <w:rFonts w:ascii="Arial" w:cs="Arial" w:eastAsia="Arial" w:hAnsi="Arial"/>
          <w:sz w:val="20"/>
          <w:szCs w:val="20"/>
        </w:rPr>
        <w:t xml:space="preserve">Возврат производится тем же способом, которым была произведена оплата, в течение 10 календарных дней с даты обращения Заказчика.</w:t>
      </w:r>
    </w:p>
    <w:p>
      <w:pPr>
        <w:spacing w:after="80" w:line="264"/>
        <w:ind w:left="504" w:hanging="504"/>
        <w:jc w:val="both"/>
      </w:pPr>
      <w:r>
        <w:rPr>
          <w:rFonts w:ascii="Arial" w:cs="Arial" w:eastAsia="Arial" w:hAnsi="Arial"/>
          <w:b/>
          <w:bCs/>
          <w:sz w:val="20"/>
          <w:szCs w:val="20"/>
        </w:rPr>
        <w:t xml:space="preserve">8.5. Прекращение посещения по инициативе Исполнителя не влечёт автоматического удержания всей оплаты. Расчёт возврата производится с учётом фактически оказанных услуг, обстоятельств прекращения договора и требований законодательства Российской Федерации.</w:t>
      </w:r>
      <w:r>
        <w:rPr>
          <w:rFonts w:ascii="Arial" w:cs="Arial" w:eastAsia="Arial" w:hAnsi="Arial"/>
          <w:sz w:val="20"/>
          <w:szCs w:val="20"/>
        </w:rPr>
        <w:t xml:space="preserve"/>
      </w:r>
    </w:p>
    <w:p>
      <w:pPr>
        <w:spacing w:after="130" w:before="280"/>
      </w:pPr>
      <w:r>
        <w:rPr>
          <w:rFonts w:ascii="Arial" w:cs="Arial" w:eastAsia="Arial" w:hAnsi="Arial"/>
          <w:b/>
          <w:bCs/>
          <w:color w:val="00214B"/>
          <w:sz w:val="23"/>
          <w:szCs w:val="23"/>
        </w:rPr>
        <w:t xml:space="preserve">9. Ответственность сторон</w:t>
      </w:r>
    </w:p>
    <w:p>
      <w:pPr>
        <w:spacing w:after="80" w:line="264"/>
        <w:ind w:left="504" w:hanging="504"/>
        <w:jc w:val="both"/>
      </w:pPr>
      <w:r>
        <w:rPr>
          <w:rFonts w:ascii="Arial" w:cs="Arial" w:eastAsia="Arial" w:hAnsi="Arial"/>
          <w:b/>
          <w:bCs/>
          <w:sz w:val="20"/>
          <w:szCs w:val="20"/>
        </w:rPr>
        <w:t xml:space="preserve">9.1. </w:t>
      </w:r>
      <w:r>
        <w:rPr>
          <w:rFonts w:ascii="Arial" w:cs="Arial" w:eastAsia="Arial" w:hAnsi="Arial"/>
          <w:sz w:val="20"/>
          <w:szCs w:val="20"/>
        </w:rPr>
        <w:t xml:space="preserve">Стороны несут ответственность в соответствии с законодательством Российской Федерации.</w:t>
      </w:r>
    </w:p>
    <w:p>
      <w:pPr>
        <w:spacing w:after="80" w:line="264"/>
        <w:ind w:left="504" w:hanging="504"/>
        <w:jc w:val="both"/>
      </w:pPr>
      <w:r>
        <w:rPr>
          <w:rFonts w:ascii="Arial" w:cs="Arial" w:eastAsia="Arial" w:hAnsi="Arial"/>
          <w:b/>
          <w:bCs/>
          <w:sz w:val="20"/>
          <w:szCs w:val="20"/>
        </w:rPr>
        <w:t xml:space="preserve">9.2. </w:t>
      </w:r>
      <w:r>
        <w:rPr>
          <w:rFonts w:ascii="Arial" w:cs="Arial" w:eastAsia="Arial" w:hAnsi="Arial"/>
          <w:sz w:val="20"/>
          <w:szCs w:val="20"/>
        </w:rPr>
        <w:t xml:space="preserve">Исполнитель не несёт ответственности за вред, причинённый вследствие нарушения Заказчиком или Посетителем Правил и техники безопасности, сокрытия сведений о состоянии здоровья Посетителя, наличии медицинских противопоказаний, а также вследствие несоблюдения установленных ограничений по возрасту, росту и весу.</w:t>
      </w:r>
    </w:p>
    <w:p>
      <w:pPr>
        <w:spacing w:after="80" w:line="264"/>
        <w:ind w:left="504" w:hanging="504"/>
        <w:jc w:val="both"/>
      </w:pPr>
      <w:r>
        <w:rPr>
          <w:rFonts w:ascii="Arial" w:cs="Arial" w:eastAsia="Arial" w:hAnsi="Arial"/>
          <w:b/>
          <w:bCs/>
          <w:sz w:val="20"/>
          <w:szCs w:val="20"/>
        </w:rPr>
        <w:t xml:space="preserve">9.3. </w:t>
      </w:r>
      <w:r>
        <w:rPr>
          <w:rFonts w:ascii="Arial" w:cs="Arial" w:eastAsia="Arial" w:hAnsi="Arial"/>
          <w:sz w:val="20"/>
          <w:szCs w:val="20"/>
        </w:rPr>
        <w:t xml:space="preserve">Исполнитель не несёт ответственности за утерю или порчу личных вещей Заказчика и Посетителя, а также за действия третьих лиц.</w:t>
      </w:r>
    </w:p>
    <w:p>
      <w:pPr>
        <w:spacing w:after="80" w:line="264"/>
        <w:ind w:left="504" w:hanging="504"/>
        <w:jc w:val="both"/>
      </w:pPr>
      <w:r>
        <w:rPr>
          <w:rFonts w:ascii="Arial" w:cs="Arial" w:eastAsia="Arial" w:hAnsi="Arial"/>
          <w:b/>
          <w:bCs/>
          <w:sz w:val="20"/>
          <w:szCs w:val="20"/>
        </w:rPr>
        <w:t xml:space="preserve">9.4. </w:t>
      </w:r>
      <w:r>
        <w:rPr>
          <w:rFonts w:ascii="Arial" w:cs="Arial" w:eastAsia="Arial" w:hAnsi="Arial"/>
          <w:sz w:val="20"/>
          <w:szCs w:val="20"/>
        </w:rPr>
        <w:t xml:space="preserve">Заказчик возмещает ущерб, причинённый им или Посетителем имуществу Исполнителя, в полном объёме.</w:t>
      </w:r>
    </w:p>
    <w:p>
      <w:pPr>
        <w:spacing w:after="130" w:before="280"/>
      </w:pPr>
      <w:r>
        <w:rPr>
          <w:rFonts w:ascii="Arial" w:cs="Arial" w:eastAsia="Arial" w:hAnsi="Arial"/>
          <w:b/>
          <w:bCs/>
          <w:color w:val="00214B"/>
          <w:sz w:val="23"/>
          <w:szCs w:val="23"/>
        </w:rPr>
        <w:t xml:space="preserve">10. Персональные данные</w:t>
      </w:r>
    </w:p>
    <w:p>
      <w:pPr>
        <w:spacing w:after="80" w:line="264"/>
        <w:ind w:left="504" w:hanging="504"/>
        <w:jc w:val="both"/>
      </w:pPr>
      <w:r>
        <w:rPr>
          <w:rFonts w:ascii="Arial" w:cs="Arial" w:eastAsia="Arial" w:hAnsi="Arial"/>
          <w:b/>
          <w:bCs/>
          <w:sz w:val="20"/>
          <w:szCs w:val="20"/>
        </w:rPr>
        <w:t xml:space="preserve">10.1. </w:t>
      </w:r>
      <w:r>
        <w:rPr>
          <w:rFonts w:ascii="Arial" w:cs="Arial" w:eastAsia="Arial" w:hAnsi="Arial"/>
          <w:sz w:val="20"/>
          <w:szCs w:val="20"/>
        </w:rPr>
        <w:t xml:space="preserve">Обработка персональных данных Заказчика и Посетителя осуществляется в соответствии с Федеральным законом от 27.07.2006 № 152-ФЗ и Политикой конфиденциальности, размещённой на сайте myakula.ru.</w:t>
      </w:r>
    </w:p>
    <w:p>
      <w:pPr>
        <w:spacing w:after="80" w:line="264"/>
        <w:ind w:left="504" w:hanging="504"/>
        <w:jc w:val="both"/>
      </w:pPr>
      <w:r>
        <w:rPr>
          <w:rFonts w:ascii="Arial" w:cs="Arial" w:eastAsia="Arial" w:hAnsi="Arial"/>
          <w:b/>
          <w:bCs/>
          <w:sz w:val="20"/>
          <w:szCs w:val="20"/>
        </w:rPr>
        <w:t xml:space="preserve">10.2. Если обработка основана на согласии, оно оформляется отдельно от оферты и других документов. В форме предзаписи согласие предоставляется самостоятельным проставлением отметки и отправкой формы. Предзапись сама по себе не является оплатой услуг или бронированием посещения.</w:t>
      </w:r>
      <w:r>
        <w:rPr>
          <w:rFonts w:ascii="Arial" w:cs="Arial" w:eastAsia="Arial" w:hAnsi="Arial"/>
          <w:sz w:val="20"/>
          <w:szCs w:val="20"/>
        </w:rPr>
        <w:t xml:space="preserve"/>
      </w:r>
    </w:p>
    <w:p>
      <w:pPr>
        <w:spacing w:after="80" w:line="264"/>
        <w:ind w:left="504" w:hanging="504"/>
        <w:jc w:val="both"/>
      </w:pPr>
      <w:r>
        <w:rPr>
          <w:rFonts w:ascii="Arial" w:cs="Arial" w:eastAsia="Arial" w:hAnsi="Arial"/>
          <w:b/>
          <w:bCs/>
          <w:sz w:val="20"/>
          <w:szCs w:val="20"/>
        </w:rPr>
        <w:t xml:space="preserve">10.3. Заказчик вправе отозвать согласие, направив уведомление Исполнителю любым доступным способом. Обработка, основанная на согласии, прекращается, а данные уничтожаются в установленные законом сроки, как правило, не позднее 30 дней после получения отзыва, если отсутствуют иные законные основания обработки.</w:t>
      </w:r>
      <w:r>
        <w:rPr>
          <w:rFonts w:ascii="Arial" w:cs="Arial" w:eastAsia="Arial" w:hAnsi="Arial"/>
          <w:sz w:val="20"/>
          <w:szCs w:val="20"/>
        </w:rPr>
        <w:t xml:space="preserve"/>
      </w:r>
    </w:p>
    <w:p>
      <w:pPr>
        <w:spacing w:after="130" w:before="280"/>
      </w:pPr>
      <w:r>
        <w:rPr>
          <w:rFonts w:ascii="Arial" w:cs="Arial" w:eastAsia="Arial" w:hAnsi="Arial"/>
          <w:b/>
          <w:bCs/>
          <w:color w:val="00214B"/>
          <w:sz w:val="23"/>
          <w:szCs w:val="23"/>
        </w:rPr>
        <w:t xml:space="preserve">11. Срок действия и изменение оферты</w:t>
      </w:r>
    </w:p>
    <w:p>
      <w:pPr>
        <w:spacing w:after="80" w:line="264"/>
        <w:ind w:left="504" w:hanging="504"/>
        <w:jc w:val="both"/>
      </w:pPr>
      <w:r>
        <w:rPr>
          <w:rFonts w:ascii="Arial" w:cs="Arial" w:eastAsia="Arial" w:hAnsi="Arial"/>
          <w:b/>
          <w:bCs/>
          <w:sz w:val="20"/>
          <w:szCs w:val="20"/>
        </w:rPr>
        <w:t xml:space="preserve">11.1. </w:t>
      </w:r>
      <w:r>
        <w:rPr>
          <w:rFonts w:ascii="Arial" w:cs="Arial" w:eastAsia="Arial" w:hAnsi="Arial"/>
          <w:sz w:val="20"/>
          <w:szCs w:val="20"/>
        </w:rPr>
        <w:t xml:space="preserve">Оферта действует с момента размещения на сайте myakula.ru и до её отзыва Исполнителем.</w:t>
      </w:r>
    </w:p>
    <w:p>
      <w:pPr>
        <w:spacing w:after="80" w:line="264"/>
        <w:ind w:left="504" w:hanging="504"/>
        <w:jc w:val="both"/>
      </w:pPr>
      <w:r>
        <w:rPr>
          <w:rFonts w:ascii="Arial" w:cs="Arial" w:eastAsia="Arial" w:hAnsi="Arial"/>
          <w:b/>
          <w:bCs/>
          <w:sz w:val="20"/>
          <w:szCs w:val="20"/>
        </w:rPr>
        <w:t xml:space="preserve">11.2. </w:t>
      </w:r>
      <w:r>
        <w:rPr>
          <w:rFonts w:ascii="Arial" w:cs="Arial" w:eastAsia="Arial" w:hAnsi="Arial"/>
          <w:sz w:val="20"/>
          <w:szCs w:val="20"/>
        </w:rPr>
        <w:t xml:space="preserve">Исполнитель вправе изменять условия оферты. Изменения публикуются на сайте и вступают в силу не ранее чем через 10 календарных дней с даты публикации. Изменения не распространяются на услуги, оплаченные до вступления изменений в силу.</w:t>
      </w:r>
    </w:p>
    <w:p>
      <w:pPr>
        <w:spacing w:after="130" w:before="280"/>
      </w:pPr>
      <w:r>
        <w:rPr>
          <w:rFonts w:ascii="Arial" w:cs="Arial" w:eastAsia="Arial" w:hAnsi="Arial"/>
          <w:b/>
          <w:bCs/>
          <w:color w:val="00214B"/>
          <w:sz w:val="23"/>
          <w:szCs w:val="23"/>
        </w:rPr>
        <w:t xml:space="preserve">12. Разрешение споров</w:t>
      </w:r>
    </w:p>
    <w:p>
      <w:pPr>
        <w:spacing w:after="80" w:line="264"/>
        <w:ind w:left="504" w:hanging="504"/>
        <w:jc w:val="both"/>
      </w:pPr>
      <w:r>
        <w:rPr>
          <w:rFonts w:ascii="Arial" w:cs="Arial" w:eastAsia="Arial" w:hAnsi="Arial"/>
          <w:b/>
          <w:bCs/>
          <w:sz w:val="20"/>
          <w:szCs w:val="20"/>
        </w:rPr>
        <w:t xml:space="preserve">12.1. </w:t>
      </w:r>
      <w:r>
        <w:rPr>
          <w:rFonts w:ascii="Arial" w:cs="Arial" w:eastAsia="Arial" w:hAnsi="Arial"/>
          <w:sz w:val="20"/>
          <w:szCs w:val="20"/>
        </w:rPr>
        <w:t xml:space="preserve">Претензии направляются Исполнителю в письменной форме и рассматриваются в течение 10 календарных дней.</w:t>
      </w:r>
    </w:p>
    <w:p>
      <w:pPr>
        <w:spacing w:after="80" w:line="264"/>
        <w:ind w:left="504" w:hanging="504"/>
        <w:jc w:val="both"/>
      </w:pPr>
      <w:r>
        <w:rPr>
          <w:rFonts w:ascii="Arial" w:cs="Arial" w:eastAsia="Arial" w:hAnsi="Arial"/>
          <w:b/>
          <w:bCs/>
          <w:sz w:val="20"/>
          <w:szCs w:val="20"/>
        </w:rPr>
        <w:t xml:space="preserve">12.2. </w:t>
      </w:r>
      <w:r>
        <w:rPr>
          <w:rFonts w:ascii="Arial" w:cs="Arial" w:eastAsia="Arial" w:hAnsi="Arial"/>
          <w:sz w:val="20"/>
          <w:szCs w:val="20"/>
        </w:rPr>
        <w:t xml:space="preserve">Неурегулированные споры рассматриваются в суде в соответствии с законодательством Российской Федерации.</w:t>
      </w:r>
    </w:p>
    <w:p>
      <w:pPr>
        <w:spacing w:after="130" w:before="280"/>
      </w:pPr>
      <w:r>
        <w:rPr>
          <w:rFonts w:ascii="Arial" w:cs="Arial" w:eastAsia="Arial" w:hAnsi="Arial"/>
          <w:b/>
          <w:bCs/>
          <w:color w:val="00214B"/>
          <w:sz w:val="23"/>
          <w:szCs w:val="23"/>
        </w:rPr>
        <w:t xml:space="preserve">13. Реквизиты Исполнителя</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shd w:fill="00214B"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Реквизит</w:t>
            </w:r>
          </w:p>
        </w:tc>
        <w:tc>
          <w:tcPr>
            <w:tcW w:type="dxa" w:w="6750"/>
            <w:shd w:fill="00214B" w:val="clear"/>
            <w:tcMar>
              <w:top w:type="dxa" w:w="80"/>
              <w:left w:type="dxa" w:w="120"/>
              <w:bottom w:type="dxa" w:w="80"/>
              <w:right w:type="dxa" w:w="120"/>
            </w:tcMar>
          </w:tcPr>
          <w:p>
            <w:pPr>
              <w:spacing w:after="0"/>
            </w:pPr>
            <w:r>
              <w:rPr>
                <w:rFonts w:ascii="Arial" w:cs="Arial" w:eastAsia="Arial" w:hAnsi="Arial"/>
                <w:b/>
                <w:bCs/>
                <w:color w:val="FFFFFF"/>
                <w:sz w:val="19"/>
                <w:szCs w:val="19"/>
              </w:rPr>
              <w:t xml:space="preserve">Значение</w:t>
            </w:r>
          </w:p>
        </w:tc>
      </w:tr>
      <w:tr>
        <w:tc>
          <w:tcPr>
            <w:tcW w:type="dxa" w:w="2600"/>
            <w:tcMar>
              <w:top w:type="dxa" w:w="80"/>
              <w:left w:type="dxa" w:w="120"/>
              <w:bottom w:type="dxa" w:w="80"/>
              <w:right w:type="dxa" w:w="120"/>
            </w:tcMar>
          </w:tcPr>
          <w:p>
            <w:pPr>
              <w:spacing w:after="0"/>
            </w:pPr>
            <w:r>
              <w:rPr>
                <w:rFonts w:ascii="Arial" w:cs="Arial" w:eastAsia="Arial" w:hAnsi="Arial"/>
                <w:b w:val="false"/>
                <w:bCs w:val="false"/>
                <w:sz w:val="19"/>
                <w:szCs w:val="19"/>
              </w:rPr>
              <w:t xml:space="preserve">Наименование</w:t>
            </w:r>
          </w:p>
        </w:tc>
        <w:tc>
          <w:tcPr>
            <w:tcW w:type="dxa" w:w="6750"/>
            <w:tcMar>
              <w:top w:type="dxa" w:w="80"/>
              <w:left w:type="dxa" w:w="120"/>
              <w:bottom w:type="dxa" w:w="80"/>
              <w:right w:type="dxa" w:w="120"/>
            </w:tcMar>
          </w:tcPr>
          <w:p>
            <w:pPr>
              <w:spacing w:after="0"/>
            </w:pPr>
            <w:r>
              <w:rPr>
                <w:rFonts w:ascii="Arial" w:cs="Arial" w:eastAsia="Arial" w:hAnsi="Arial"/>
                <w:b w:val="false"/>
                <w:bCs w:val="false"/>
                <w:sz w:val="19"/>
                <w:szCs w:val="19"/>
              </w:rPr>
              <w:t xml:space="preserve">Общество с ограниченной ответственностью «Акула»</w:t>
            </w:r>
          </w:p>
        </w:tc>
      </w:tr>
      <w:tr>
        <w:tc>
          <w:tcPr>
            <w:tcW w:type="dxa" w:w="2600"/>
            <w:tcMar>
              <w:top w:type="dxa" w:w="80"/>
              <w:left w:type="dxa" w:w="120"/>
              <w:bottom w:type="dxa" w:w="80"/>
              <w:right w:type="dxa" w:w="120"/>
            </w:tcMar>
          </w:tcPr>
          <w:p>
            <w:pPr>
              <w:spacing w:after="0"/>
            </w:pPr>
            <w:r>
              <w:rPr>
                <w:rFonts w:ascii="Arial" w:cs="Arial" w:eastAsia="Arial" w:hAnsi="Arial"/>
                <w:b w:val="false"/>
                <w:bCs w:val="false"/>
                <w:sz w:val="19"/>
                <w:szCs w:val="19"/>
              </w:rPr>
              <w:t xml:space="preserve">ОГРН</w:t>
            </w:r>
          </w:p>
        </w:tc>
        <w:tc>
          <w:tcPr>
            <w:tcW w:type="dxa" w:w="6750"/>
            <w:tcMar>
              <w:top w:type="dxa" w:w="80"/>
              <w:left w:type="dxa" w:w="120"/>
              <w:bottom w:type="dxa" w:w="80"/>
              <w:right w:type="dxa" w:w="120"/>
            </w:tcMar>
          </w:tcPr>
          <w:p>
            <w:pPr>
              <w:spacing w:after="0"/>
            </w:pPr>
            <w:r>
              <w:rPr>
                <w:rFonts w:ascii="Arial" w:cs="Arial" w:eastAsia="Arial" w:hAnsi="Arial"/>
                <w:b w:val="false"/>
                <w:bCs w:val="false"/>
                <w:sz w:val="19"/>
                <w:szCs w:val="19"/>
              </w:rPr>
              <w:t xml:space="preserve">1213800010016</w:t>
            </w:r>
          </w:p>
        </w:tc>
      </w:tr>
      <w:tr>
        <w:tc>
          <w:tcPr>
            <w:tcW w:type="dxa" w:w="2600"/>
            <w:tcMar>
              <w:top w:type="dxa" w:w="80"/>
              <w:left w:type="dxa" w:w="120"/>
              <w:bottom w:type="dxa" w:w="80"/>
              <w:right w:type="dxa" w:w="120"/>
            </w:tcMar>
          </w:tcPr>
          <w:p>
            <w:pPr>
              <w:spacing w:after="0"/>
            </w:pPr>
            <w:r>
              <w:rPr>
                <w:rFonts w:ascii="Arial" w:cs="Arial" w:eastAsia="Arial" w:hAnsi="Arial"/>
                <w:b w:val="false"/>
                <w:bCs w:val="false"/>
                <w:sz w:val="19"/>
                <w:szCs w:val="19"/>
              </w:rPr>
              <w:t xml:space="preserve">ИНН</w:t>
            </w:r>
          </w:p>
        </w:tc>
        <w:tc>
          <w:tcPr>
            <w:tcW w:type="dxa" w:w="6750"/>
            <w:tcMar>
              <w:top w:type="dxa" w:w="80"/>
              <w:left w:type="dxa" w:w="120"/>
              <w:bottom w:type="dxa" w:w="80"/>
              <w:right w:type="dxa" w:w="120"/>
            </w:tcMar>
          </w:tcPr>
          <w:p>
            <w:pPr>
              <w:spacing w:after="0"/>
            </w:pPr>
            <w:r>
              <w:rPr>
                <w:rFonts w:ascii="Arial" w:cs="Arial" w:eastAsia="Arial" w:hAnsi="Arial"/>
                <w:b w:val="false"/>
                <w:bCs w:val="false"/>
                <w:sz w:val="19"/>
                <w:szCs w:val="19"/>
              </w:rPr>
              <w:t xml:space="preserve">3812535911</w:t>
            </w:r>
          </w:p>
        </w:tc>
      </w:tr>
      <w:tr>
        <w:tc>
          <w:tcPr>
            <w:tcW w:type="dxa" w:w="2600"/>
            <w:tcMar>
              <w:top w:type="dxa" w:w="80"/>
              <w:left w:type="dxa" w:w="120"/>
              <w:bottom w:type="dxa" w:w="80"/>
              <w:right w:type="dxa" w:w="120"/>
            </w:tcMar>
          </w:tcPr>
          <w:p>
            <w:pPr>
              <w:spacing w:after="0"/>
            </w:pPr>
            <w:r>
              <w:rPr>
                <w:rFonts w:ascii="Arial" w:cs="Arial" w:eastAsia="Arial" w:hAnsi="Arial"/>
                <w:b w:val="false"/>
                <w:bCs w:val="false"/>
                <w:sz w:val="19"/>
                <w:szCs w:val="19"/>
              </w:rPr>
              <w:t xml:space="preserve">Адрес</w:t>
            </w:r>
          </w:p>
        </w:tc>
        <w:tc>
          <w:tcPr>
            <w:tcW w:type="dxa" w:w="6750"/>
            <w:tcMar>
              <w:top w:type="dxa" w:w="80"/>
              <w:left w:type="dxa" w:w="120"/>
              <w:bottom w:type="dxa" w:w="80"/>
              <w:right w:type="dxa" w:w="120"/>
            </w:tcMar>
          </w:tcPr>
          <w:p>
            <w:pPr>
              <w:spacing w:after="0"/>
            </w:pPr>
            <w:r>
              <w:rPr>
                <w:rFonts w:ascii="Arial" w:cs="Arial" w:eastAsia="Arial" w:hAnsi="Arial"/>
                <w:b w:val="false"/>
                <w:bCs w:val="false"/>
                <w:sz w:val="19"/>
                <w:szCs w:val="19"/>
              </w:rPr>
              <w:t xml:space="preserve">664056, г. Иркутск, мкр. Приморский, д. 6, кв. 60</w:t>
            </w:r>
          </w:p>
        </w:tc>
      </w:tr>
      <w:tr>
        <w:tc>
          <w:tcPr>
            <w:tcW w:type="dxa" w:w="2600"/>
            <w:tcMar>
              <w:top w:type="dxa" w:w="80"/>
              <w:left w:type="dxa" w:w="120"/>
              <w:bottom w:type="dxa" w:w="80"/>
              <w:right w:type="dxa" w:w="120"/>
            </w:tcMar>
          </w:tcPr>
          <w:p>
            <w:pPr>
              <w:spacing w:after="0"/>
            </w:pPr>
            <w:r>
              <w:rPr>
                <w:rFonts w:ascii="Arial" w:cs="Arial" w:eastAsia="Arial" w:hAnsi="Arial"/>
                <w:b w:val="false"/>
                <w:bCs w:val="false"/>
                <w:sz w:val="19"/>
                <w:szCs w:val="19"/>
              </w:rPr>
              <w:t xml:space="preserve">Место оказания услуг</w:t>
            </w:r>
          </w:p>
        </w:tc>
        <w:tc>
          <w:tcPr>
            <w:tcW w:type="dxa" w:w="6750"/>
            <w:tcMar>
              <w:top w:type="dxa" w:w="80"/>
              <w:left w:type="dxa" w:w="120"/>
              <w:bottom w:type="dxa" w:w="80"/>
              <w:right w:type="dxa" w:w="120"/>
            </w:tcMar>
          </w:tcPr>
          <w:p>
            <w:pPr>
              <w:spacing w:after="0"/>
            </w:pPr>
            <w:r>
              <w:rPr>
                <w:rFonts w:ascii="Arial" w:cs="Arial" w:eastAsia="Arial" w:hAnsi="Arial"/>
                <w:b w:val="false"/>
                <w:bCs w:val="false"/>
                <w:sz w:val="19"/>
                <w:szCs w:val="19"/>
              </w:rPr>
              <w:t xml:space="preserve">г. Красноярск, ул. 9 Мая, д. 77, ТРЦ «Планета», 2 этаж</w:t>
            </w:r>
          </w:p>
        </w:tc>
      </w:tr>
      <w:tr>
        <w:tc>
          <w:tcPr>
            <w:tcW w:type="dxa" w:w="2600"/>
            <w:tcMar>
              <w:top w:type="dxa" w:w="80"/>
              <w:left w:type="dxa" w:w="120"/>
              <w:bottom w:type="dxa" w:w="80"/>
              <w:right w:type="dxa" w:w="120"/>
            </w:tcMar>
          </w:tcPr>
          <w:p>
            <w:pPr>
              <w:spacing w:after="0"/>
            </w:pPr>
            <w:r>
              <w:rPr>
                <w:rFonts w:ascii="Arial" w:cs="Arial" w:eastAsia="Arial" w:hAnsi="Arial"/>
                <w:b w:val="false"/>
                <w:bCs w:val="false"/>
                <w:sz w:val="19"/>
                <w:szCs w:val="19"/>
              </w:rPr>
              <w:t xml:space="preserve">Расчётный счёт</w:t>
            </w:r>
          </w:p>
        </w:tc>
        <w:tc>
          <w:tcPr>
            <w:tcW w:type="dxa" w:w="6750"/>
            <w:tcMar>
              <w:top w:type="dxa" w:w="80"/>
              <w:left w:type="dxa" w:w="120"/>
              <w:bottom w:type="dxa" w:w="80"/>
              <w:right w:type="dxa" w:w="120"/>
            </w:tcMar>
          </w:tcPr>
          <w:p>
            <w:pPr>
              <w:spacing w:after="0"/>
            </w:pPr>
            <w:r>
              <w:rPr>
                <w:rFonts w:ascii="Arial" w:cs="Arial" w:eastAsia="Arial" w:hAnsi="Arial"/>
                <w:b w:val="false"/>
                <w:bCs w:val="false"/>
                <w:sz w:val="19"/>
                <w:szCs w:val="19"/>
              </w:rPr>
              <w:t xml:space="preserve">40702810718350012750</w:t>
            </w:r>
          </w:p>
        </w:tc>
      </w:tr>
      <w:tr>
        <w:tc>
          <w:tcPr>
            <w:tcW w:type="dxa" w:w="2600"/>
            <w:tcMar>
              <w:top w:type="dxa" w:w="80"/>
              <w:left w:type="dxa" w:w="120"/>
              <w:bottom w:type="dxa" w:w="80"/>
              <w:right w:type="dxa" w:w="120"/>
            </w:tcMar>
          </w:tcPr>
          <w:p>
            <w:pPr>
              <w:spacing w:after="0"/>
            </w:pPr>
            <w:r>
              <w:rPr>
                <w:rFonts w:ascii="Arial" w:cs="Arial" w:eastAsia="Arial" w:hAnsi="Arial"/>
                <w:b w:val="false"/>
                <w:bCs w:val="false"/>
                <w:sz w:val="19"/>
                <w:szCs w:val="19"/>
              </w:rPr>
              <w:t xml:space="preserve">Банк</w:t>
            </w:r>
          </w:p>
        </w:tc>
        <w:tc>
          <w:tcPr>
            <w:tcW w:type="dxa" w:w="6750"/>
            <w:tcMar>
              <w:top w:type="dxa" w:w="80"/>
              <w:left w:type="dxa" w:w="120"/>
              <w:bottom w:type="dxa" w:w="80"/>
              <w:right w:type="dxa" w:w="120"/>
            </w:tcMar>
          </w:tcPr>
          <w:p>
            <w:pPr>
              <w:spacing w:after="0"/>
            </w:pPr>
            <w:r>
              <w:rPr>
                <w:rFonts w:ascii="Arial" w:cs="Arial" w:eastAsia="Arial" w:hAnsi="Arial"/>
                <w:b w:val="false"/>
                <w:bCs w:val="false"/>
                <w:sz w:val="19"/>
                <w:szCs w:val="19"/>
              </w:rPr>
              <w:t xml:space="preserve">Байкальский банк ПАО Сбербанк, БИК 042520607</w:t>
            </w:r>
          </w:p>
        </w:tc>
      </w:tr>
      <w:tr>
        <w:tc>
          <w:tcPr>
            <w:tcW w:type="dxa" w:w="2600"/>
            <w:tcMar>
              <w:top w:type="dxa" w:w="80"/>
              <w:left w:type="dxa" w:w="120"/>
              <w:bottom w:type="dxa" w:w="80"/>
              <w:right w:type="dxa" w:w="120"/>
            </w:tcMar>
          </w:tcPr>
          <w:p>
            <w:pPr>
              <w:spacing w:after="0"/>
            </w:pPr>
            <w:r>
              <w:rPr>
                <w:rFonts w:ascii="Arial" w:cs="Arial" w:eastAsia="Arial" w:hAnsi="Arial"/>
                <w:b w:val="false"/>
                <w:bCs w:val="false"/>
                <w:sz w:val="19"/>
                <w:szCs w:val="19"/>
              </w:rPr>
              <w:t xml:space="preserve">Сайт</w:t>
            </w:r>
          </w:p>
        </w:tc>
        <w:tc>
          <w:tcPr>
            <w:tcW w:type="dxa" w:w="6750"/>
            <w:tcMar>
              <w:top w:type="dxa" w:w="80"/>
              <w:left w:type="dxa" w:w="120"/>
              <w:bottom w:type="dxa" w:w="80"/>
              <w:right w:type="dxa" w:w="120"/>
            </w:tcMar>
          </w:tcPr>
          <w:p>
            <w:pPr>
              <w:spacing w:after="0"/>
            </w:pPr>
            <w:r>
              <w:rPr>
                <w:rFonts w:ascii="Arial" w:cs="Arial" w:eastAsia="Arial" w:hAnsi="Arial"/>
                <w:b w:val="false"/>
                <w:bCs w:val="false"/>
                <w:sz w:val="19"/>
                <w:szCs w:val="19"/>
              </w:rPr>
              <w:t xml:space="preserve">myakula.ru</w:t>
            </w:r>
          </w:p>
        </w:tc>
      </w:tr>
      <w:tr>
        <w:tc>
          <w:tcPr>
            <w:tcW w:type="dxa" w:w="2600"/>
            <w:tcMar>
              <w:top w:type="dxa" w:w="80"/>
              <w:left w:type="dxa" w:w="120"/>
              <w:bottom w:type="dxa" w:w="80"/>
              <w:right w:type="dxa" w:w="120"/>
            </w:tcMar>
          </w:tcPr>
          <w:p>
            <w:pPr>
              <w:spacing w:after="0"/>
            </w:pPr>
            <w:r>
              <w:rPr>
                <w:rFonts w:ascii="Arial" w:cs="Arial" w:eastAsia="Arial" w:hAnsi="Arial"/>
                <w:b w:val="false"/>
                <w:bCs w:val="false"/>
                <w:sz w:val="19"/>
                <w:szCs w:val="19"/>
              </w:rPr>
              <w:t xml:space="preserve">Руководитель</w:t>
            </w:r>
          </w:p>
        </w:tc>
        <w:tc>
          <w:tcPr>
            <w:tcW w:type="dxa" w:w="6750"/>
            <w:tcMar>
              <w:top w:type="dxa" w:w="80"/>
              <w:left w:type="dxa" w:w="120"/>
              <w:bottom w:type="dxa" w:w="80"/>
              <w:right w:type="dxa" w:w="120"/>
            </w:tcMar>
          </w:tcPr>
          <w:p>
            <w:pPr>
              <w:spacing w:after="0"/>
            </w:pPr>
            <w:r>
              <w:rPr>
                <w:rFonts w:ascii="Arial" w:cs="Arial" w:eastAsia="Arial" w:hAnsi="Arial"/>
                <w:b w:val="false"/>
                <w:bCs w:val="false"/>
                <w:sz w:val="19"/>
                <w:szCs w:val="19"/>
              </w:rPr>
              <w:t xml:space="preserve">Генеральный директор Панфилова Екатерина Анатольевна</w:t>
            </w:r>
          </w:p>
        </w:tc>
      </w:tr>
    </w:tbl>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92"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2026-08-24T11:01:25.704Z</dcterms:created>
  <dcterms:modified xsi:type="dcterms:W3CDTF">2026-08-24T11:01:25.722Z</dcterms:modified>
</cp:coreProperties>
</file>

<file path=docProps/custom.xml><?xml version="1.0" encoding="utf-8"?>
<Properties xmlns="http://schemas.openxmlformats.org/officeDocument/2006/custom-properties" xmlns:vt="http://schemas.openxmlformats.org/officeDocument/2006/docPropsVTypes"/>
</file>